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/>
          <w:sz w:val="30"/>
        </w:rPr>
      </w:pPr>
      <w:bookmarkStart w:id="0" w:name="_Toc367284086"/>
      <w:bookmarkStart w:id="1" w:name="_Toc367563382"/>
      <w:bookmarkStart w:id="2" w:name="_Toc367563531"/>
      <w:bookmarkStart w:id="3" w:name="_Toc367572924"/>
      <w:bookmarkStart w:id="4" w:name="_Toc367573119"/>
      <w:bookmarkStart w:id="5" w:name="_Toc368995093"/>
      <w:bookmarkStart w:id="6" w:name="_Toc367708498"/>
      <w:bookmarkStart w:id="7" w:name="_Toc368951880"/>
      <w:bookmarkStart w:id="8" w:name="_Toc369123066"/>
      <w:bookmarkStart w:id="9" w:name="_Toc369472687"/>
      <w:bookmarkStart w:id="10" w:name="_Toc369515617"/>
      <w:bookmarkStart w:id="11" w:name="_Toc370080740"/>
      <w:bookmarkStart w:id="12" w:name="_Toc370119188"/>
      <w:bookmarkStart w:id="18" w:name="_GoBack"/>
      <w:bookmarkEnd w:id="18"/>
    </w:p>
    <w:p>
      <w:pPr>
        <w:rPr>
          <w:rFonts w:eastAsia="黑体"/>
          <w:sz w:val="30"/>
        </w:rPr>
      </w:pPr>
      <w:r>
        <w:rPr>
          <w:rFonts w:eastAsia="黑体"/>
          <w:sz w:val="30"/>
        </w:rPr>
        <w:t>江苏省高等教育自学考试大纲</w:t>
      </w: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b/>
          <w:bCs/>
          <w:sz w:val="44"/>
          <w:szCs w:val="44"/>
        </w:rPr>
      </w:pPr>
      <w:r>
        <w:rPr>
          <w:rFonts w:hint="eastAsia" w:eastAsia="黑体"/>
          <w:b/>
          <w:bCs/>
          <w:sz w:val="44"/>
          <w:szCs w:val="44"/>
        </w:rPr>
        <w:t>02358　单片机原理及应用（实践部分）</w:t>
      </w: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  <w:r>
        <w:rPr>
          <w:rFonts w:eastAsia="黑体"/>
          <w:sz w:val="30"/>
        </w:rPr>
        <w:t>　　　　　　　　　　　　　　　南京信息工程大学编</w:t>
      </w: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hint="eastAsia"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spacing w:beforeLines="50" w:afterLines="50" w:line="360" w:lineRule="auto"/>
        <w:ind w:firstLine="643" w:firstLineChars="200"/>
        <w:jc w:val="center"/>
        <w:rPr>
          <w:rFonts w:ascii="黑体" w:hAnsi="黑体" w:eastAsia="黑体" w:cs="宋体"/>
          <w:b/>
          <w:sz w:val="32"/>
          <w:szCs w:val="32"/>
        </w:rPr>
      </w:pPr>
      <w:r>
        <w:rPr>
          <w:rFonts w:hint="eastAsia" w:ascii="黑体" w:hAnsi="黑体" w:eastAsia="黑体" w:cs="宋体"/>
          <w:b/>
          <w:sz w:val="32"/>
          <w:szCs w:val="32"/>
        </w:rPr>
        <w:t xml:space="preserve">Ⅰ </w:t>
      </w:r>
      <w:r>
        <w:rPr>
          <w:rFonts w:ascii="黑体" w:hAnsi="黑体" w:eastAsia="黑体" w:cs="宋体"/>
          <w:b/>
          <w:sz w:val="32"/>
          <w:szCs w:val="32"/>
        </w:rPr>
        <w:t xml:space="preserve"> 课程性质和</w:t>
      </w:r>
      <w:r>
        <w:rPr>
          <w:rFonts w:hint="eastAsia" w:ascii="黑体" w:hAnsi="黑体" w:eastAsia="黑体" w:cs="宋体"/>
          <w:b/>
          <w:sz w:val="32"/>
          <w:szCs w:val="32"/>
        </w:rPr>
        <w:t>目标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《</w:t>
      </w:r>
      <w:r>
        <w:rPr>
          <w:rFonts w:hint="eastAsia" w:ascii="宋体" w:hAnsi="宋体"/>
          <w:sz w:val="24"/>
        </w:rPr>
        <w:t>单片机原理与应用</w:t>
      </w:r>
      <w:r>
        <w:rPr>
          <w:rFonts w:ascii="宋体" w:hAnsi="宋体"/>
          <w:sz w:val="24"/>
        </w:rPr>
        <w:t>》课程是江苏省高等教育自学考试物联网工程专业(本科段)考试计划规定的</w:t>
      </w:r>
      <w:r>
        <w:rPr>
          <w:rFonts w:hint="eastAsia" w:ascii="宋体" w:hAnsi="宋体"/>
          <w:sz w:val="24"/>
        </w:rPr>
        <w:t>选修</w:t>
      </w:r>
      <w:r>
        <w:rPr>
          <w:rFonts w:ascii="宋体" w:hAnsi="宋体"/>
          <w:sz w:val="24"/>
        </w:rPr>
        <w:t>课，</w:t>
      </w:r>
      <w:r>
        <w:rPr>
          <w:rFonts w:hint="eastAsia" w:ascii="宋体" w:hAnsi="宋体"/>
          <w:sz w:val="24"/>
        </w:rPr>
        <w:t>是为培养自学应考者了解和掌握单片机技术的基本知识、理论和应用而设置的一门选</w:t>
      </w:r>
      <w:r>
        <w:rPr>
          <w:rFonts w:ascii="宋体" w:hAnsi="宋体"/>
          <w:sz w:val="24"/>
        </w:rPr>
        <w:t>考课。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《</w:t>
      </w:r>
      <w:r>
        <w:rPr>
          <w:rFonts w:hint="eastAsia" w:ascii="宋体" w:hAnsi="宋体"/>
          <w:sz w:val="24"/>
        </w:rPr>
        <w:t>单片机原理与应用</w:t>
      </w:r>
      <w:r>
        <w:rPr>
          <w:rFonts w:ascii="宋体" w:hAnsi="宋体"/>
          <w:sz w:val="24"/>
        </w:rPr>
        <w:t>》课程</w:t>
      </w:r>
      <w:r>
        <w:rPr>
          <w:rFonts w:hint="eastAsia" w:ascii="宋体" w:hAnsi="宋体"/>
          <w:sz w:val="24"/>
        </w:rPr>
        <w:t>实践部分，主要以实验实训方式进行考核，</w:t>
      </w:r>
      <w:r>
        <w:rPr>
          <w:rFonts w:ascii="宋体" w:hAnsi="宋体"/>
          <w:sz w:val="24"/>
        </w:rPr>
        <w:t>目的在于使学生掌握单片机的基本概念，基本原理和应用方法。要求学生在牢固掌握单片机基本概念的基础上，具备对简单系统的硬件原理的分析与设计、接口芯片的应用和汇编语言软件编写的能力，为专业课学习和参加本专业的工程实践打下必要的基础。</w:t>
      </w:r>
    </w:p>
    <w:p>
      <w:pPr>
        <w:spacing w:line="360" w:lineRule="auto"/>
        <w:ind w:firstLine="480" w:firstLineChars="200"/>
        <w:rPr>
          <w:sz w:val="24"/>
        </w:rPr>
      </w:pPr>
    </w:p>
    <w:p>
      <w:pPr>
        <w:spacing w:beforeLines="50" w:afterLines="50" w:line="360" w:lineRule="auto"/>
        <w:ind w:firstLine="643" w:firstLineChars="200"/>
        <w:jc w:val="center"/>
        <w:rPr>
          <w:rFonts w:ascii="黑体" w:hAnsi="黑体" w:eastAsia="黑体" w:cs="宋体"/>
          <w:b/>
          <w:sz w:val="32"/>
          <w:szCs w:val="32"/>
        </w:rPr>
      </w:pPr>
      <w:r>
        <w:rPr>
          <w:rFonts w:hint="eastAsia" w:ascii="黑体" w:hAnsi="黑体" w:eastAsia="黑体" w:cs="宋体"/>
          <w:b/>
          <w:sz w:val="32"/>
          <w:szCs w:val="32"/>
        </w:rPr>
        <w:t>Ⅱ  实践内容和要求</w:t>
      </w:r>
    </w:p>
    <w:p>
      <w:pPr>
        <w:numPr>
          <w:ilvl w:val="12"/>
          <w:numId w:val="0"/>
        </w:numPr>
        <w:spacing w:beforeLines="100" w:line="360" w:lineRule="auto"/>
        <w:ind w:firstLine="482" w:firstLineChars="200"/>
        <w:jc w:val="center"/>
        <w:rPr>
          <w:b/>
          <w:sz w:val="24"/>
        </w:rPr>
      </w:pPr>
      <w:bookmarkStart w:id="13" w:name="_Toc145814285"/>
      <w:r>
        <w:rPr>
          <w:rFonts w:hint="eastAsia"/>
          <w:b/>
          <w:sz w:val="24"/>
        </w:rPr>
        <w:t xml:space="preserve">实验一  </w:t>
      </w:r>
      <w:bookmarkEnd w:id="13"/>
      <w:r>
        <w:rPr>
          <w:rFonts w:hint="eastAsia"/>
          <w:b/>
          <w:sz w:val="24"/>
        </w:rPr>
        <w:t>单片机I/O输入/输出实验</w:t>
      </w:r>
    </w:p>
    <w:p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 实验目的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1、掌握P3口、P1口简单使用。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2、学习延时程序的编写和使用。</w:t>
      </w:r>
    </w:p>
    <w:p>
      <w:pPr>
        <w:spacing w:line="360" w:lineRule="auto"/>
        <w:rPr>
          <w:sz w:val="24"/>
        </w:rPr>
      </w:pPr>
      <w:r>
        <w:rPr>
          <w:rFonts w:hint="eastAsia"/>
          <w:b/>
          <w:bCs/>
          <w:sz w:val="24"/>
        </w:rPr>
        <w:t>二、 实验内容</w:t>
      </w:r>
      <w:r>
        <w:rPr>
          <w:rFonts w:hint="eastAsia" w:ascii="宋体" w:hAnsi="宋体" w:cs="宋体"/>
          <w:sz w:val="24"/>
        </w:rPr>
        <w:t>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1、P3.3口做输入口，外接一脉冲，每输入一个脉冲，P1口按十六进制加一。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2、P1口做输出口，编写程序，使P1口接的8个发光二极管L0—L7按16进制加一的方式点亮发光二极管。</w:t>
      </w:r>
    </w:p>
    <w:p>
      <w:pPr>
        <w:spacing w:line="360" w:lineRule="auto"/>
        <w:ind w:firstLine="480" w:firstLineChars="200"/>
        <w:rPr>
          <w:sz w:val="24"/>
        </w:rPr>
      </w:pPr>
    </w:p>
    <w:p>
      <w:pPr>
        <w:numPr>
          <w:ilvl w:val="12"/>
          <w:numId w:val="0"/>
        </w:numPr>
        <w:spacing w:beforeLines="50" w:line="360" w:lineRule="auto"/>
        <w:ind w:firstLine="482" w:firstLineChars="200"/>
        <w:jc w:val="center"/>
        <w:rPr>
          <w:b/>
          <w:sz w:val="24"/>
        </w:rPr>
      </w:pPr>
      <w:bookmarkStart w:id="14" w:name="_Toc145814286"/>
      <w:r>
        <w:rPr>
          <w:rFonts w:hint="eastAsia"/>
          <w:b/>
          <w:sz w:val="24"/>
        </w:rPr>
        <w:t>实验二  工业顺序控制</w:t>
      </w:r>
      <w:bookmarkEnd w:id="14"/>
    </w:p>
    <w:p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 实验目的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掌握工业顺序控制程序的简单编写和中断的使用。</w:t>
      </w:r>
    </w:p>
    <w:p>
      <w:pPr>
        <w:spacing w:line="360" w:lineRule="auto"/>
        <w:rPr>
          <w:sz w:val="24"/>
        </w:rPr>
      </w:pPr>
      <w:r>
        <w:rPr>
          <w:rFonts w:hint="eastAsia"/>
          <w:b/>
          <w:bCs/>
          <w:sz w:val="24"/>
        </w:rPr>
        <w:t>二、 实验内容</w:t>
      </w:r>
      <w:r>
        <w:rPr>
          <w:rFonts w:hint="eastAsia"/>
          <w:sz w:val="24"/>
        </w:rPr>
        <w:t></w:t>
      </w:r>
    </w:p>
    <w:p>
      <w:pPr>
        <w:spacing w:line="360" w:lineRule="auto"/>
        <w:ind w:firstLine="616" w:firstLineChars="257"/>
        <w:rPr>
          <w:rFonts w:ascii="宋体" w:hAnsi="宋体"/>
          <w:sz w:val="24"/>
        </w:rPr>
      </w:pPr>
      <w:r>
        <w:rPr>
          <w:rFonts w:hint="eastAsia"/>
          <w:sz w:val="24"/>
        </w:rPr>
        <w:t>在工业控制中，像冲压、注塑、轻纺、制瓶等生产过程，都是一些断续生产过程，按某种程序有规律地完成预定的动作，对这类断续生产过程的控制称顺序控制，例：注塑机工艺过程大致按“合模→注射→延时→开模→产伸→产退”</w:t>
      </w:r>
      <w:r>
        <w:rPr>
          <w:rFonts w:hint="eastAsia" w:ascii="宋体" w:hAnsi="宋体"/>
          <w:sz w:val="24"/>
        </w:rPr>
        <w:t>顺序动作，用单片机最易实现。</w:t>
      </w:r>
    </w:p>
    <w:p>
      <w:pPr>
        <w:spacing w:line="360" w:lineRule="auto"/>
        <w:ind w:firstLine="616" w:firstLineChars="257"/>
        <w:rPr>
          <w:sz w:val="24"/>
        </w:rPr>
      </w:pPr>
      <w:r>
        <w:rPr>
          <w:rFonts w:hint="eastAsia"/>
          <w:sz w:val="24"/>
        </w:rPr>
        <w:t>8031的P1.0～P1.6控制注塑机的七道工序，现模拟控制七只发光二极管的点亮，高电平有效，设定每道工序时间转换为延时，P3.4为开工启动开关，低电平启动。P3.3为外故障输入模拟开关，P3.3为0时不断告警，P1.7为报警声音输出。</w:t>
      </w:r>
    </w:p>
    <w:p>
      <w:pPr>
        <w:spacing w:line="360" w:lineRule="auto"/>
        <w:ind w:firstLine="616" w:firstLineChars="257"/>
        <w:rPr>
          <w:sz w:val="24"/>
        </w:rPr>
      </w:pPr>
    </w:p>
    <w:p>
      <w:pPr>
        <w:numPr>
          <w:ilvl w:val="12"/>
          <w:numId w:val="0"/>
        </w:numPr>
        <w:spacing w:beforeLines="50" w:line="360" w:lineRule="auto"/>
        <w:ind w:firstLine="482" w:firstLineChars="200"/>
        <w:jc w:val="center"/>
        <w:rPr>
          <w:b/>
          <w:sz w:val="24"/>
        </w:rPr>
      </w:pPr>
      <w:bookmarkStart w:id="15" w:name="_Toc145814287"/>
      <w:r>
        <w:rPr>
          <w:rFonts w:hint="eastAsia"/>
          <w:b/>
          <w:sz w:val="24"/>
        </w:rPr>
        <w:t>实验三   8255的控制</w:t>
      </w:r>
      <w:bookmarkEnd w:id="15"/>
    </w:p>
    <w:p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 实验目的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了解8255芯片的结构及编程方法。</w:t>
      </w:r>
    </w:p>
    <w:p>
      <w:pPr>
        <w:spacing w:line="360" w:lineRule="auto"/>
        <w:rPr>
          <w:sz w:val="24"/>
        </w:rPr>
      </w:pPr>
      <w:r>
        <w:rPr>
          <w:rFonts w:hint="eastAsia"/>
          <w:b/>
          <w:bCs/>
          <w:sz w:val="24"/>
        </w:rPr>
        <w:t>二、 实验内容</w:t>
      </w:r>
      <w:r>
        <w:rPr>
          <w:rFonts w:hint="eastAsia"/>
          <w:sz w:val="24"/>
        </w:rPr>
        <w:t>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用8255的PA口做输入口，PB口做输出口，控制PA口状态从PB口输出显示。通过PA口接8个开关K1～K8，PB口接8个发光二极管，从PA口读入8位开关的状态送PB口显示，拨动K1～K8，PB口上接的8个发光二极管L0～L7对应显示K1～K8的状态。</w:t>
      </w:r>
    </w:p>
    <w:p>
      <w:pPr>
        <w:spacing w:line="360" w:lineRule="auto"/>
        <w:ind w:firstLine="480" w:firstLineChars="200"/>
        <w:rPr>
          <w:sz w:val="24"/>
        </w:rPr>
      </w:pPr>
    </w:p>
    <w:p>
      <w:pPr>
        <w:numPr>
          <w:ilvl w:val="12"/>
          <w:numId w:val="0"/>
        </w:numPr>
        <w:spacing w:beforeLines="50" w:line="360" w:lineRule="auto"/>
        <w:ind w:firstLine="482" w:firstLineChars="200"/>
        <w:jc w:val="center"/>
        <w:rPr>
          <w:b/>
          <w:sz w:val="24"/>
        </w:rPr>
      </w:pPr>
      <w:bookmarkStart w:id="16" w:name="_Toc145814288"/>
      <w:r>
        <w:rPr>
          <w:rFonts w:hint="eastAsia"/>
          <w:b/>
          <w:sz w:val="24"/>
        </w:rPr>
        <w:t>实验四   简单I/O口扩展实验</w:t>
      </w:r>
      <w:bookmarkEnd w:id="16"/>
    </w:p>
    <w:p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 实验目的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学习在单片机系统中扩展简单I/ O口的基本方法。</w:t>
      </w:r>
    </w:p>
    <w:p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二、 实验内容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MCS—51外部扩展空间很大，但数据总线口和控制信号的负载能力是有限的，若需要扩展的芯片较多，则MCS—51总线口负载过重，74LS244是一个输入扩展口，同时也是一个单向驱动器，以减轻总线负担。74LS273作为同向输出口，控制8个发光二极管的亮灭。</w:t>
      </w:r>
    </w:p>
    <w:p>
      <w:pPr>
        <w:spacing w:line="360" w:lineRule="auto"/>
        <w:ind w:firstLine="480" w:firstLineChars="200"/>
        <w:rPr>
          <w:sz w:val="24"/>
        </w:rPr>
      </w:pPr>
    </w:p>
    <w:p>
      <w:pPr>
        <w:numPr>
          <w:ilvl w:val="12"/>
          <w:numId w:val="0"/>
        </w:numPr>
        <w:spacing w:beforeLines="50" w:line="360" w:lineRule="auto"/>
        <w:ind w:firstLine="482" w:firstLineChars="200"/>
        <w:jc w:val="center"/>
        <w:rPr>
          <w:b/>
          <w:sz w:val="24"/>
        </w:rPr>
      </w:pPr>
      <w:bookmarkStart w:id="17" w:name="_Toc145814289"/>
      <w:r>
        <w:rPr>
          <w:rFonts w:hint="eastAsia"/>
          <w:b/>
          <w:sz w:val="24"/>
        </w:rPr>
        <w:t>实验五   A/D 转换实验</w:t>
      </w:r>
      <w:bookmarkEnd w:id="17"/>
    </w:p>
    <w:p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 实验目的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1、掌握A/ D转换与单片机的接口方法。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2、了解A/ D芯片0809转换性能及编程方法。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3、通过实验了解单片机如何进行数据采集。</w:t>
      </w:r>
    </w:p>
    <w:p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二、 实验内容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利用模数转换器0809做A/ D转换实验，实验仪上的电位器提供模拟量输入。编制程序，将模拟量转换成数字量，通过显示接口芯片8279在七段数码管上显示。</w:t>
      </w:r>
    </w:p>
    <w:p>
      <w:pPr>
        <w:spacing w:line="360" w:lineRule="auto"/>
        <w:ind w:firstLine="480" w:firstLineChars="200"/>
        <w:rPr>
          <w:sz w:val="24"/>
        </w:rPr>
      </w:pPr>
    </w:p>
    <w:p>
      <w:pPr>
        <w:spacing w:beforeLines="50" w:afterLines="50" w:line="360" w:lineRule="auto"/>
        <w:ind w:firstLine="562" w:firstLineChars="200"/>
        <w:jc w:val="center"/>
        <w:rPr>
          <w:rFonts w:eastAsia="黑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Ⅲ</w:t>
      </w:r>
      <w:r>
        <w:rPr>
          <w:rFonts w:eastAsia="黑体"/>
          <w:b/>
          <w:sz w:val="28"/>
          <w:szCs w:val="28"/>
        </w:rPr>
        <w:t xml:space="preserve">  考核要求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spacing w:line="360" w:lineRule="auto"/>
        <w:ind w:firstLine="480" w:firstLineChars="200"/>
        <w:rPr>
          <w:b/>
          <w:sz w:val="24"/>
        </w:rPr>
      </w:pPr>
      <w:r>
        <w:rPr>
          <w:sz w:val="24"/>
        </w:rPr>
        <w:t>本课程是一门实践性很强的</w:t>
      </w:r>
      <w:r>
        <w:rPr>
          <w:rFonts w:hint="eastAsia"/>
          <w:sz w:val="24"/>
        </w:rPr>
        <w:t>实践考核</w:t>
      </w:r>
      <w:r>
        <w:rPr>
          <w:sz w:val="24"/>
        </w:rPr>
        <w:t>课，要求学生了解和掌握基本理论，同时具备较强的操作能力及应用能力。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（1）根据课程实验的情况，书写完整的实验报告；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（</w:t>
      </w:r>
      <w:r>
        <w:rPr>
          <w:sz w:val="24"/>
        </w:rPr>
        <w:t>2</w:t>
      </w:r>
      <w:r>
        <w:rPr>
          <w:rFonts w:hint="eastAsia"/>
          <w:sz w:val="24"/>
        </w:rPr>
        <w:t>）考核及成绩计算方式：根据实验情况及实验报告综合评定试验部分的分数。实践课程成绩应根据学生的设计态度、设计质量情况综合评定，着重考察学生的分析问题与解决问题的能力。综合评定成绩采用五级记分制（即优秀、良好、中等、及格、不及格），其对应分数如下：</w:t>
      </w:r>
    </w:p>
    <w:tbl>
      <w:tblPr>
        <w:tblStyle w:val="15"/>
        <w:tblW w:w="806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9"/>
        <w:gridCol w:w="1331"/>
        <w:gridCol w:w="1302"/>
        <w:gridCol w:w="1302"/>
        <w:gridCol w:w="1302"/>
        <w:gridCol w:w="16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9" w:type="dxa"/>
            <w:vAlign w:val="center"/>
          </w:tcPr>
          <w:p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等级</w:t>
            </w:r>
          </w:p>
        </w:tc>
        <w:tc>
          <w:tcPr>
            <w:tcW w:w="1331" w:type="dxa"/>
            <w:vAlign w:val="center"/>
          </w:tcPr>
          <w:p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优秀</w:t>
            </w:r>
          </w:p>
        </w:tc>
        <w:tc>
          <w:tcPr>
            <w:tcW w:w="1302" w:type="dxa"/>
            <w:vAlign w:val="center"/>
          </w:tcPr>
          <w:p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良好</w:t>
            </w:r>
          </w:p>
        </w:tc>
        <w:tc>
          <w:tcPr>
            <w:tcW w:w="1302" w:type="dxa"/>
            <w:vAlign w:val="center"/>
          </w:tcPr>
          <w:p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中等</w:t>
            </w:r>
          </w:p>
        </w:tc>
        <w:tc>
          <w:tcPr>
            <w:tcW w:w="1302" w:type="dxa"/>
            <w:vAlign w:val="center"/>
          </w:tcPr>
          <w:p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及格</w:t>
            </w:r>
          </w:p>
        </w:tc>
        <w:tc>
          <w:tcPr>
            <w:tcW w:w="1608" w:type="dxa"/>
            <w:vAlign w:val="center"/>
          </w:tcPr>
          <w:p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不及格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9" w:type="dxa"/>
            <w:vAlign w:val="center"/>
          </w:tcPr>
          <w:p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得分</w:t>
            </w:r>
          </w:p>
        </w:tc>
        <w:tc>
          <w:tcPr>
            <w:tcW w:w="1331" w:type="dxa"/>
            <w:vAlign w:val="center"/>
          </w:tcPr>
          <w:p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90-100</w:t>
            </w:r>
          </w:p>
        </w:tc>
        <w:tc>
          <w:tcPr>
            <w:tcW w:w="1302" w:type="dxa"/>
            <w:vAlign w:val="center"/>
          </w:tcPr>
          <w:p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80-89</w:t>
            </w:r>
          </w:p>
        </w:tc>
        <w:tc>
          <w:tcPr>
            <w:tcW w:w="1302" w:type="dxa"/>
            <w:vAlign w:val="center"/>
          </w:tcPr>
          <w:p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70-79</w:t>
            </w:r>
          </w:p>
        </w:tc>
        <w:tc>
          <w:tcPr>
            <w:tcW w:w="1302" w:type="dxa"/>
            <w:vAlign w:val="center"/>
          </w:tcPr>
          <w:p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60-69</w:t>
            </w:r>
          </w:p>
        </w:tc>
        <w:tc>
          <w:tcPr>
            <w:tcW w:w="1608" w:type="dxa"/>
            <w:vAlign w:val="center"/>
          </w:tcPr>
          <w:p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60分以下</w:t>
            </w:r>
          </w:p>
        </w:tc>
      </w:tr>
    </w:tbl>
    <w:p>
      <w:pPr>
        <w:spacing w:line="360" w:lineRule="auto"/>
        <w:ind w:firstLine="482" w:firstLineChars="200"/>
        <w:rPr>
          <w:b/>
          <w:sz w:val="24"/>
        </w:rPr>
      </w:pP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成绩应呈正态分布，“优秀”等级数量一般应控制在20%左右。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sz w:val="24"/>
        </w:rPr>
        <w:t>1</w:t>
      </w:r>
      <w:r>
        <w:rPr>
          <w:rFonts w:hint="eastAsia"/>
          <w:sz w:val="24"/>
        </w:rPr>
        <w:t>、优秀（90—100分）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实验过程中，工作认真，能独立在规定时间内完成实验任务。思路清晰，方案正确，实验报告规范，具有独立分析问题、解决问题的能力。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、良好（80—89分）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实验过程中，工作认真，在规定时间内完成实验任务。方案正确，实验报告规范，具有一定的分析问题、解决问题的能力。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sz w:val="24"/>
        </w:rPr>
        <w:t>3</w:t>
      </w:r>
      <w:r>
        <w:rPr>
          <w:rFonts w:hint="eastAsia"/>
          <w:sz w:val="24"/>
        </w:rPr>
        <w:t>、中等（70—79分）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实验过程中，工作比较认真，能在规定时间内完成实验任务。方案基本正确，实验报告一般，能够掌握基本概念。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sz w:val="24"/>
        </w:rPr>
        <w:t>4</w:t>
      </w:r>
      <w:r>
        <w:rPr>
          <w:rFonts w:hint="eastAsia"/>
          <w:sz w:val="24"/>
        </w:rPr>
        <w:t>、及格（60—69分）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实验过程中，工作比较认真，经指导能在规定时间内完成实验任务。方案基本正确，实验报告一般，没有严重错误。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sz w:val="24"/>
        </w:rPr>
        <w:t>5</w:t>
      </w:r>
      <w:r>
        <w:rPr>
          <w:rFonts w:hint="eastAsia"/>
          <w:sz w:val="24"/>
        </w:rPr>
        <w:t>、不及格（低于60分）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实验过程中，工作不认真，经指导后仍不能在规定时间内完成实验任务。方案存在严重错误，实验报告不规范。</w:t>
      </w:r>
    </w:p>
    <w:p>
      <w:pPr>
        <w:spacing w:line="360" w:lineRule="auto"/>
        <w:rPr>
          <w:sz w:val="24"/>
        </w:rPr>
      </w:pPr>
    </w:p>
    <w:sectPr>
      <w:pgSz w:w="11906" w:h="16838"/>
      <w:pgMar w:top="1440" w:right="1800" w:bottom="1440" w:left="1800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5404"/>
    <w:rsid w:val="000632B5"/>
    <w:rsid w:val="000B263E"/>
    <w:rsid w:val="00115591"/>
    <w:rsid w:val="00120337"/>
    <w:rsid w:val="001354D1"/>
    <w:rsid w:val="001458ED"/>
    <w:rsid w:val="00155521"/>
    <w:rsid w:val="001864E9"/>
    <w:rsid w:val="001D0837"/>
    <w:rsid w:val="002062D1"/>
    <w:rsid w:val="00247A83"/>
    <w:rsid w:val="00283667"/>
    <w:rsid w:val="002A735A"/>
    <w:rsid w:val="0030538F"/>
    <w:rsid w:val="003627AA"/>
    <w:rsid w:val="003B6587"/>
    <w:rsid w:val="003C03B5"/>
    <w:rsid w:val="00401EFC"/>
    <w:rsid w:val="004235DA"/>
    <w:rsid w:val="00446A7B"/>
    <w:rsid w:val="00453919"/>
    <w:rsid w:val="00486324"/>
    <w:rsid w:val="004A2FDB"/>
    <w:rsid w:val="004B15F3"/>
    <w:rsid w:val="004B3F84"/>
    <w:rsid w:val="004D2343"/>
    <w:rsid w:val="004D5CB0"/>
    <w:rsid w:val="00542EFE"/>
    <w:rsid w:val="005734DA"/>
    <w:rsid w:val="005827EC"/>
    <w:rsid w:val="005A674A"/>
    <w:rsid w:val="005B6A73"/>
    <w:rsid w:val="006D2813"/>
    <w:rsid w:val="006D461D"/>
    <w:rsid w:val="006E7D37"/>
    <w:rsid w:val="006F79B4"/>
    <w:rsid w:val="00735B4B"/>
    <w:rsid w:val="007D5818"/>
    <w:rsid w:val="007F0E82"/>
    <w:rsid w:val="0082646D"/>
    <w:rsid w:val="00840BCE"/>
    <w:rsid w:val="008456CD"/>
    <w:rsid w:val="00856294"/>
    <w:rsid w:val="008C5270"/>
    <w:rsid w:val="00953D45"/>
    <w:rsid w:val="009A1659"/>
    <w:rsid w:val="009B0DF8"/>
    <w:rsid w:val="009C6D83"/>
    <w:rsid w:val="009C7F44"/>
    <w:rsid w:val="009D6D81"/>
    <w:rsid w:val="009E5FE1"/>
    <w:rsid w:val="009F271C"/>
    <w:rsid w:val="00A970B7"/>
    <w:rsid w:val="00AA7A6D"/>
    <w:rsid w:val="00AF6B52"/>
    <w:rsid w:val="00B13854"/>
    <w:rsid w:val="00B14251"/>
    <w:rsid w:val="00B21069"/>
    <w:rsid w:val="00B33CDA"/>
    <w:rsid w:val="00B76409"/>
    <w:rsid w:val="00B97CF2"/>
    <w:rsid w:val="00BA3689"/>
    <w:rsid w:val="00BA3F38"/>
    <w:rsid w:val="00BE32AF"/>
    <w:rsid w:val="00C85404"/>
    <w:rsid w:val="00CF6BFD"/>
    <w:rsid w:val="00D222B6"/>
    <w:rsid w:val="00D616BF"/>
    <w:rsid w:val="00D86447"/>
    <w:rsid w:val="00DB6B93"/>
    <w:rsid w:val="00DC314A"/>
    <w:rsid w:val="00E72FA0"/>
    <w:rsid w:val="00ED242D"/>
    <w:rsid w:val="00EF0CBE"/>
    <w:rsid w:val="00F039C8"/>
    <w:rsid w:val="00F1426D"/>
    <w:rsid w:val="00F50044"/>
    <w:rsid w:val="00F55BC4"/>
    <w:rsid w:val="00F62F5B"/>
    <w:rsid w:val="1512440E"/>
    <w:rsid w:val="5BCC2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39" w:semiHidden="0" w:name="toc 1"/>
    <w:lsdException w:unhideWhenUsed="0" w:uiPriority="39" w:semiHidden="0" w:name="toc 2"/>
    <w:lsdException w:unhideWhenUsed="0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nhideWhenUsed="0" w:uiPriority="0" w:semiHidden="0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6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2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semiHidden/>
    <w:unhideWhenUsed/>
    <w:uiPriority w:val="1"/>
  </w:style>
  <w:style w:type="table" w:default="1" w:styleId="1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3"/>
    <w:basedOn w:val="1"/>
    <w:next w:val="1"/>
    <w:uiPriority w:val="39"/>
    <w:pPr>
      <w:ind w:left="420"/>
      <w:jc w:val="left"/>
    </w:pPr>
    <w:rPr>
      <w:i/>
      <w:iCs/>
      <w:sz w:val="20"/>
      <w:szCs w:val="20"/>
    </w:rPr>
  </w:style>
  <w:style w:type="paragraph" w:styleId="6">
    <w:name w:val="Body Text Indent 2"/>
    <w:basedOn w:val="1"/>
    <w:link w:val="20"/>
    <w:uiPriority w:val="0"/>
    <w:pPr>
      <w:ind w:left="239" w:leftChars="114" w:firstLine="280" w:firstLineChars="100"/>
    </w:pPr>
    <w:rPr>
      <w:rFonts w:ascii="宋体" w:hAnsi="宋体" w:cs="Arial Unicode MS"/>
      <w:kern w:val="0"/>
      <w:sz w:val="28"/>
      <w:szCs w:val="21"/>
    </w:rPr>
  </w:style>
  <w:style w:type="paragraph" w:styleId="7">
    <w:name w:val="Balloon Text"/>
    <w:basedOn w:val="1"/>
    <w:link w:val="26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2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uiPriority w:val="39"/>
    <w:pPr>
      <w:tabs>
        <w:tab w:val="right" w:leader="dot" w:pos="9628"/>
      </w:tabs>
      <w:spacing w:before="120" w:after="120"/>
      <w:jc w:val="left"/>
    </w:pPr>
    <w:rPr>
      <w:rFonts w:ascii="黑体" w:hAnsi="黑体" w:eastAsia="黑体"/>
      <w:bCs/>
      <w:caps/>
      <w:sz w:val="28"/>
      <w:szCs w:val="28"/>
    </w:rPr>
  </w:style>
  <w:style w:type="paragraph" w:styleId="11">
    <w:name w:val="toc 2"/>
    <w:basedOn w:val="1"/>
    <w:next w:val="1"/>
    <w:uiPriority w:val="39"/>
    <w:pPr>
      <w:ind w:left="210"/>
      <w:jc w:val="left"/>
    </w:pPr>
    <w:rPr>
      <w:smallCaps/>
      <w:sz w:val="20"/>
      <w:szCs w:val="20"/>
    </w:rPr>
  </w:style>
  <w:style w:type="character" w:styleId="13">
    <w:name w:val="page number"/>
    <w:basedOn w:val="12"/>
    <w:uiPriority w:val="0"/>
  </w:style>
  <w:style w:type="character" w:styleId="14">
    <w:name w:val="Hyperlink"/>
    <w:basedOn w:val="12"/>
    <w:uiPriority w:val="99"/>
    <w:rPr>
      <w:color w:val="3366CC"/>
      <w:u w:val="single"/>
    </w:rPr>
  </w:style>
  <w:style w:type="character" w:customStyle="1" w:styleId="16">
    <w:name w:val="标题 2 Char"/>
    <w:basedOn w:val="12"/>
    <w:link w:val="3"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17">
    <w:name w:val="style41"/>
    <w:qFormat/>
    <w:uiPriority w:val="0"/>
    <w:rPr>
      <w:rFonts w:hint="eastAsia" w:ascii="宋体" w:hAnsi="宋体" w:eastAsia="宋体"/>
      <w:color w:val="111177"/>
      <w:sz w:val="23"/>
      <w:szCs w:val="23"/>
    </w:rPr>
  </w:style>
  <w:style w:type="paragraph" w:customStyle="1" w:styleId="18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kern w:val="0"/>
      <w:sz w:val="24"/>
      <w:szCs w:val="24"/>
      <w:lang w:val="en-US" w:eastAsia="zh-CN" w:bidi="ar-SA"/>
    </w:rPr>
  </w:style>
  <w:style w:type="paragraph" w:customStyle="1" w:styleId="19">
    <w:name w:val="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character" w:customStyle="1" w:styleId="20">
    <w:name w:val="正文文本缩进 2 Char"/>
    <w:basedOn w:val="12"/>
    <w:link w:val="6"/>
    <w:uiPriority w:val="0"/>
    <w:rPr>
      <w:rFonts w:ascii="宋体" w:hAnsi="宋体" w:eastAsia="宋体" w:cs="Arial Unicode MS"/>
      <w:kern w:val="0"/>
      <w:sz w:val="28"/>
      <w:szCs w:val="21"/>
    </w:rPr>
  </w:style>
  <w:style w:type="character" w:customStyle="1" w:styleId="21">
    <w:name w:val="标题 1 Char"/>
    <w:basedOn w:val="12"/>
    <w:link w:val="2"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22">
    <w:name w:val="标题 3 Char"/>
    <w:basedOn w:val="12"/>
    <w:link w:val="4"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3">
    <w:name w:val="页脚 Char"/>
    <w:basedOn w:val="12"/>
    <w:link w:val="8"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24">
    <w:name w:val="TOC Heading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5" w:themeColor="accent1" w:themeShade="BF"/>
      <w:kern w:val="0"/>
      <w:sz w:val="32"/>
      <w:szCs w:val="32"/>
    </w:rPr>
  </w:style>
  <w:style w:type="character" w:customStyle="1" w:styleId="25">
    <w:name w:val="页眉 Char"/>
    <w:basedOn w:val="12"/>
    <w:link w:val="9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6">
    <w:name w:val="批注框文本 Char"/>
    <w:basedOn w:val="12"/>
    <w:link w:val="7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25722CF-2054-42B9-B59E-291A06B8804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292</Words>
  <Characters>1666</Characters>
  <Lines>13</Lines>
  <Paragraphs>3</Paragraphs>
  <TotalTime>93</TotalTime>
  <ScaleCrop>false</ScaleCrop>
  <LinksUpToDate>false</LinksUpToDate>
  <CharactersWithSpaces>1955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2015-12-22T12:22:00Z</dcterms:created>
  <dc:creator>Qchsh</dc:creator>
  <cp:lastModifiedBy>White_warm_days</cp:lastModifiedBy>
  <dcterms:modified xsi:type="dcterms:W3CDTF">2019-04-19T03:41:31Z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